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E4" w:rsidRPr="001825E4" w:rsidRDefault="001825E4" w:rsidP="00DC63F3">
      <w:pPr>
        <w:jc w:val="both"/>
        <w:rPr>
          <w:rFonts w:ascii="Arial" w:hAnsi="Arial" w:cs="Arial"/>
          <w:b/>
        </w:rPr>
      </w:pPr>
      <w:bookmarkStart w:id="0" w:name="_GoBack"/>
      <w:r w:rsidRPr="001825E4">
        <w:rPr>
          <w:rFonts w:ascii="Arial" w:hAnsi="Arial" w:cs="Arial"/>
          <w:b/>
        </w:rPr>
        <w:t>Appendix 'H'</w:t>
      </w:r>
    </w:p>
    <w:bookmarkEnd w:id="0"/>
    <w:p w:rsidR="00767E1D" w:rsidRPr="00DC63F3" w:rsidRDefault="001825E4" w:rsidP="00DC63F3">
      <w:pPr>
        <w:jc w:val="both"/>
        <w:rPr>
          <w:rFonts w:ascii="Arial" w:hAnsi="Arial" w:cs="Arial"/>
          <w:b/>
          <w:u w:val="single"/>
        </w:rPr>
      </w:pPr>
      <w:r w:rsidRPr="00DC63F3">
        <w:rPr>
          <w:rFonts w:ascii="Arial" w:hAnsi="Arial" w:cs="Arial"/>
          <w:b/>
          <w:u w:val="single"/>
        </w:rPr>
        <w:t>LEP Growing Places – Lead Sue Roberts</w:t>
      </w:r>
    </w:p>
    <w:p w:rsidR="006146C4" w:rsidRPr="00DC63F3" w:rsidRDefault="001825E4" w:rsidP="00DC63F3">
      <w:pPr>
        <w:jc w:val="both"/>
        <w:rPr>
          <w:rFonts w:ascii="Arial" w:hAnsi="Arial" w:cs="Arial"/>
          <w:b/>
          <w:i/>
        </w:rPr>
      </w:pPr>
      <w:r w:rsidRPr="00DC63F3">
        <w:rPr>
          <w:rFonts w:ascii="Arial" w:hAnsi="Arial" w:cs="Arial"/>
          <w:b/>
          <w:i/>
        </w:rPr>
        <w:t>Background</w:t>
      </w:r>
    </w:p>
    <w:p w:rsidR="006146C4" w:rsidRPr="00A87A34" w:rsidRDefault="001825E4" w:rsidP="00A87A34">
      <w:pPr>
        <w:pStyle w:val="NoSpacing"/>
        <w:jc w:val="both"/>
        <w:rPr>
          <w:rFonts w:ascii="Arial" w:hAnsi="Arial" w:cs="Arial"/>
        </w:rPr>
      </w:pPr>
      <w:r w:rsidRPr="00A87A34">
        <w:rPr>
          <w:rFonts w:ascii="Arial" w:hAnsi="Arial" w:cs="Arial"/>
        </w:rPr>
        <w:t>The government provided £19.3m in 2012 for a Growing Places Fund. The fund is for capital</w:t>
      </w:r>
    </w:p>
    <w:p w:rsidR="006146C4" w:rsidRPr="00A87A34" w:rsidRDefault="001825E4" w:rsidP="00A87A34">
      <w:pPr>
        <w:pStyle w:val="NoSpacing"/>
        <w:jc w:val="both"/>
        <w:rPr>
          <w:rFonts w:ascii="Arial" w:hAnsi="Arial" w:cs="Arial"/>
        </w:rPr>
      </w:pPr>
      <w:r w:rsidRPr="00A87A34">
        <w:rPr>
          <w:rFonts w:ascii="Arial" w:hAnsi="Arial" w:cs="Arial"/>
        </w:rPr>
        <w:t xml:space="preserve">developments to unlock stalled sites in Lancashire with an ambition that the fund should become evergreen (a </w:t>
      </w:r>
      <w:r w:rsidRPr="00A87A34">
        <w:rPr>
          <w:rFonts w:ascii="Arial" w:hAnsi="Arial" w:cs="Arial"/>
        </w:rPr>
        <w:t>recycling loan fund). The fund has achieved this and moving forward the capital continues to be re-invested in new schemes with the interest becoming part of the</w:t>
      </w:r>
    </w:p>
    <w:p w:rsidR="006146C4" w:rsidRPr="00A87A34" w:rsidRDefault="001825E4" w:rsidP="00A87A34">
      <w:pPr>
        <w:pStyle w:val="NoSpacing"/>
        <w:jc w:val="both"/>
        <w:rPr>
          <w:rFonts w:ascii="Arial" w:hAnsi="Arial" w:cs="Arial"/>
        </w:rPr>
      </w:pPr>
      <w:r w:rsidRPr="00A87A34">
        <w:rPr>
          <w:rFonts w:ascii="Arial" w:hAnsi="Arial" w:cs="Arial"/>
        </w:rPr>
        <w:t>income for the LEP.</w:t>
      </w:r>
    </w:p>
    <w:p w:rsidR="006146C4" w:rsidRPr="00A87A34" w:rsidRDefault="001825E4" w:rsidP="00A87A34">
      <w:pPr>
        <w:pStyle w:val="NoSpacing"/>
        <w:jc w:val="both"/>
        <w:rPr>
          <w:rFonts w:ascii="Arial" w:hAnsi="Arial" w:cs="Arial"/>
        </w:rPr>
      </w:pPr>
    </w:p>
    <w:p w:rsidR="006146C4" w:rsidRPr="00A87A34" w:rsidRDefault="001825E4" w:rsidP="00A87A34">
      <w:pPr>
        <w:pStyle w:val="NoSpacing"/>
        <w:jc w:val="both"/>
        <w:rPr>
          <w:rFonts w:ascii="Arial" w:hAnsi="Arial" w:cs="Arial"/>
          <w:b/>
        </w:rPr>
      </w:pPr>
      <w:r w:rsidRPr="00A87A34">
        <w:rPr>
          <w:rFonts w:ascii="Arial" w:hAnsi="Arial" w:cs="Arial"/>
        </w:rPr>
        <w:t>There are currently eleven schemes in receipt of growing places funds, ei</w:t>
      </w:r>
      <w:r w:rsidRPr="00A87A34">
        <w:rPr>
          <w:rFonts w:ascii="Arial" w:hAnsi="Arial" w:cs="Arial"/>
        </w:rPr>
        <w:t xml:space="preserve">ght </w:t>
      </w:r>
      <w:r>
        <w:rPr>
          <w:rFonts w:ascii="Arial" w:hAnsi="Arial" w:cs="Arial"/>
        </w:rPr>
        <w:t xml:space="preserve">have </w:t>
      </w:r>
      <w:r w:rsidRPr="00A87A34">
        <w:rPr>
          <w:rFonts w:ascii="Arial" w:hAnsi="Arial" w:cs="Arial"/>
        </w:rPr>
        <w:t xml:space="preserve">been developed out and repaid. There are three live schemes, two schemes have been developed out and one is still developing out on three sites but has drawn down their full facility.     </w:t>
      </w:r>
    </w:p>
    <w:p w:rsidR="00A87A34" w:rsidRPr="00A87A34" w:rsidRDefault="001825E4" w:rsidP="00A87A34">
      <w:pPr>
        <w:pStyle w:val="NoSpacing"/>
        <w:jc w:val="both"/>
        <w:rPr>
          <w:rFonts w:ascii="Arial" w:hAnsi="Arial" w:cs="Arial"/>
        </w:rPr>
      </w:pPr>
    </w:p>
    <w:p w:rsidR="00FC7EE9" w:rsidRPr="00A87A34" w:rsidRDefault="001825E4" w:rsidP="00A87A34">
      <w:pPr>
        <w:pStyle w:val="NoSpacing"/>
        <w:jc w:val="both"/>
        <w:rPr>
          <w:rFonts w:ascii="Arial" w:hAnsi="Arial" w:cs="Arial"/>
        </w:rPr>
      </w:pPr>
      <w:r w:rsidRPr="00A87A34">
        <w:rPr>
          <w:rFonts w:ascii="Arial" w:hAnsi="Arial" w:cs="Arial"/>
        </w:rPr>
        <w:t>The pipeline scheme</w:t>
      </w:r>
      <w:r>
        <w:rPr>
          <w:rFonts w:ascii="Arial" w:hAnsi="Arial" w:cs="Arial"/>
        </w:rPr>
        <w:t>s</w:t>
      </w:r>
      <w:r w:rsidRPr="00A87A34">
        <w:rPr>
          <w:rFonts w:ascii="Arial" w:hAnsi="Arial" w:cs="Arial"/>
        </w:rPr>
        <w:t xml:space="preserve"> ha</w:t>
      </w:r>
      <w:r>
        <w:rPr>
          <w:rFonts w:ascii="Arial" w:hAnsi="Arial" w:cs="Arial"/>
        </w:rPr>
        <w:t>ve</w:t>
      </w:r>
      <w:r w:rsidRPr="00A87A34">
        <w:rPr>
          <w:rFonts w:ascii="Arial" w:hAnsi="Arial" w:cs="Arial"/>
        </w:rPr>
        <w:t xml:space="preserve"> been reviewed, one is still act</w:t>
      </w:r>
      <w:r w:rsidRPr="00A87A34">
        <w:rPr>
          <w:rFonts w:ascii="Arial" w:hAnsi="Arial" w:cs="Arial"/>
        </w:rPr>
        <w:t xml:space="preserve">ive, one has stalled and two are making slow progress.  There has been an addition to the pipeline and is linked to an inward investment proposition. </w:t>
      </w:r>
    </w:p>
    <w:p w:rsidR="00A87A34" w:rsidRPr="00A87A34" w:rsidRDefault="001825E4" w:rsidP="00A87A34">
      <w:pPr>
        <w:pStyle w:val="NoSpacing"/>
        <w:jc w:val="both"/>
        <w:rPr>
          <w:rFonts w:ascii="Arial" w:hAnsi="Arial" w:cs="Arial"/>
        </w:rPr>
      </w:pPr>
    </w:p>
    <w:p w:rsidR="00FC7EE9" w:rsidRPr="00A87A34" w:rsidRDefault="001825E4" w:rsidP="00A87A34">
      <w:pPr>
        <w:pStyle w:val="NoSpacing"/>
        <w:jc w:val="both"/>
        <w:rPr>
          <w:rFonts w:ascii="Arial" w:hAnsi="Arial" w:cs="Arial"/>
        </w:rPr>
      </w:pPr>
      <w:r w:rsidRPr="00A87A34">
        <w:rPr>
          <w:rFonts w:ascii="Arial" w:hAnsi="Arial" w:cs="Arial"/>
        </w:rPr>
        <w:t>The government has responded to questions regarding flexibilities of the fund.  They advised that the mo</w:t>
      </w:r>
      <w:r w:rsidRPr="00A87A34">
        <w:rPr>
          <w:rFonts w:ascii="Arial" w:hAnsi="Arial" w:cs="Arial"/>
        </w:rPr>
        <w:t>ney was for loan funding and that it was up to each LEP how they interpreted it.  Marketing plans have been developed for the sector groups and will be taken to the groups that have met for consideration and agreement.  Once the sector groups have agreed t</w:t>
      </w:r>
      <w:r w:rsidRPr="00A87A34">
        <w:rPr>
          <w:rFonts w:ascii="Arial" w:hAnsi="Arial" w:cs="Arial"/>
        </w:rPr>
        <w:t>he flexibilities of the Growing Places Fund a paper will come to board regarding new criteria for the Fund to be approved.</w:t>
      </w:r>
    </w:p>
    <w:p w:rsidR="00A87A34" w:rsidRPr="00A87A34" w:rsidRDefault="001825E4" w:rsidP="00A87A34">
      <w:pPr>
        <w:pStyle w:val="NoSpacing"/>
        <w:jc w:val="both"/>
        <w:rPr>
          <w:rFonts w:ascii="Arial" w:hAnsi="Arial" w:cs="Arial"/>
        </w:rPr>
      </w:pPr>
    </w:p>
    <w:p w:rsidR="00843371" w:rsidRPr="00DC63F3" w:rsidRDefault="001825E4" w:rsidP="00DC63F3">
      <w:pPr>
        <w:jc w:val="both"/>
        <w:rPr>
          <w:rFonts w:ascii="Arial" w:hAnsi="Arial" w:cs="Arial"/>
          <w:b/>
          <w:i/>
        </w:rPr>
      </w:pPr>
      <w:r w:rsidRPr="00DC63F3">
        <w:rPr>
          <w:rFonts w:ascii="Arial" w:hAnsi="Arial" w:cs="Arial"/>
          <w:b/>
          <w:i/>
        </w:rPr>
        <w:t>Performance</w:t>
      </w:r>
    </w:p>
    <w:p w:rsidR="00843371" w:rsidRPr="00DC63F3" w:rsidRDefault="001825E4" w:rsidP="00DC63F3">
      <w:pPr>
        <w:jc w:val="both"/>
        <w:rPr>
          <w:rFonts w:ascii="Arial" w:hAnsi="Arial" w:cs="Arial"/>
        </w:rPr>
      </w:pPr>
      <w:r w:rsidRPr="00DC63F3">
        <w:rPr>
          <w:rFonts w:ascii="Arial" w:hAnsi="Arial" w:cs="Arial"/>
        </w:rPr>
        <w:t xml:space="preserve">As this is a loan fund, there are no targets, </w:t>
      </w:r>
      <w:r>
        <w:rPr>
          <w:rFonts w:ascii="Arial" w:hAnsi="Arial" w:cs="Arial"/>
        </w:rPr>
        <w:t>as such no RAG rating has been applied to the KPIs. However included in th</w:t>
      </w:r>
      <w:r>
        <w:rPr>
          <w:rFonts w:ascii="Arial" w:hAnsi="Arial" w:cs="Arial"/>
        </w:rPr>
        <w:t>e KPIs tables below, are the economic outputs reported by the recipients of the loans</w:t>
      </w:r>
      <w:r w:rsidRPr="00DC63F3">
        <w:rPr>
          <w:rFonts w:ascii="Arial" w:hAnsi="Arial" w:cs="Arial"/>
        </w:rPr>
        <w:t xml:space="preserve">. </w:t>
      </w:r>
    </w:p>
    <w:p w:rsidR="003B47FC" w:rsidRPr="00DC63F3" w:rsidRDefault="001825E4" w:rsidP="00DC63F3">
      <w:pPr>
        <w:jc w:val="both"/>
        <w:rPr>
          <w:rFonts w:ascii="Arial" w:hAnsi="Arial" w:cs="Arial"/>
        </w:rPr>
      </w:pPr>
      <w:r w:rsidRPr="00DC63F3">
        <w:rPr>
          <w:rFonts w:ascii="Arial" w:hAnsi="Arial" w:cs="Arial"/>
        </w:rPr>
        <w:t>Whilst development is progressing on three sites no building control sign off has been completed</w:t>
      </w:r>
      <w:r>
        <w:rPr>
          <w:rFonts w:ascii="Arial" w:hAnsi="Arial" w:cs="Arial"/>
        </w:rPr>
        <w:t>,</w:t>
      </w:r>
      <w:r w:rsidRPr="00DC63F3">
        <w:rPr>
          <w:rFonts w:ascii="Arial" w:hAnsi="Arial" w:cs="Arial"/>
        </w:rPr>
        <w:t xml:space="preserve"> but there should be housing units and sq.ft. to report to the next board.</w:t>
      </w:r>
    </w:p>
    <w:p w:rsidR="00843371" w:rsidRDefault="001825E4" w:rsidP="000D3973">
      <w:pPr>
        <w:pStyle w:val="NoSpacing"/>
        <w:jc w:val="both"/>
        <w:rPr>
          <w:rFonts w:ascii="Arial" w:hAnsi="Arial" w:cs="Arial"/>
          <w:u w:val="single"/>
        </w:rPr>
      </w:pPr>
      <w:r>
        <w:rPr>
          <w:rFonts w:ascii="Arial" w:hAnsi="Arial" w:cs="Arial"/>
          <w:u w:val="single"/>
        </w:rPr>
        <w:t>Key Performance Indicators</w:t>
      </w:r>
    </w:p>
    <w:p w:rsidR="000D3973" w:rsidRPr="00DC63F3" w:rsidRDefault="001825E4" w:rsidP="000D3973">
      <w:pPr>
        <w:pStyle w:val="NoSpacing"/>
        <w:jc w:val="both"/>
        <w:rPr>
          <w:rFonts w:ascii="Arial" w:hAnsi="Arial" w:cs="Arial"/>
          <w:b/>
        </w:rPr>
      </w:pPr>
    </w:p>
    <w:tbl>
      <w:tblPr>
        <w:tblStyle w:val="TableGrid"/>
        <w:tblW w:w="5073" w:type="dxa"/>
        <w:tblLook w:val="04A0" w:firstRow="1" w:lastRow="0" w:firstColumn="1" w:lastColumn="0" w:noHBand="0" w:noVBand="1"/>
      </w:tblPr>
      <w:tblGrid>
        <w:gridCol w:w="3093"/>
        <w:gridCol w:w="1980"/>
      </w:tblGrid>
      <w:tr w:rsidR="00BE47E1" w:rsidTr="000E646C">
        <w:tc>
          <w:tcPr>
            <w:tcW w:w="3093" w:type="dxa"/>
          </w:tcPr>
          <w:p w:rsidR="000E646C" w:rsidRPr="00DC63F3" w:rsidRDefault="001825E4" w:rsidP="00F94041">
            <w:pPr>
              <w:jc w:val="both"/>
              <w:rPr>
                <w:rFonts w:ascii="Arial" w:hAnsi="Arial" w:cs="Arial"/>
                <w:b/>
              </w:rPr>
            </w:pPr>
            <w:r>
              <w:rPr>
                <w:rFonts w:ascii="Arial" w:hAnsi="Arial" w:cs="Arial"/>
                <w:b/>
              </w:rPr>
              <w:t>KPI</w:t>
            </w:r>
          </w:p>
        </w:tc>
        <w:tc>
          <w:tcPr>
            <w:tcW w:w="1980" w:type="dxa"/>
          </w:tcPr>
          <w:p w:rsidR="000E646C" w:rsidRPr="00DC63F3" w:rsidRDefault="001825E4" w:rsidP="00DC63F3">
            <w:pPr>
              <w:rPr>
                <w:rFonts w:ascii="Arial" w:hAnsi="Arial" w:cs="Arial"/>
                <w:b/>
              </w:rPr>
            </w:pPr>
            <w:r w:rsidRPr="00DC63F3">
              <w:rPr>
                <w:rFonts w:ascii="Arial" w:hAnsi="Arial" w:cs="Arial"/>
                <w:b/>
              </w:rPr>
              <w:t>Actuals as at 24/08/20</w:t>
            </w:r>
          </w:p>
        </w:tc>
      </w:tr>
      <w:tr w:rsidR="00BE47E1" w:rsidTr="000E646C">
        <w:tc>
          <w:tcPr>
            <w:tcW w:w="3093" w:type="dxa"/>
          </w:tcPr>
          <w:p w:rsidR="000E646C" w:rsidRPr="00DC63F3" w:rsidRDefault="001825E4" w:rsidP="00DC63F3">
            <w:pPr>
              <w:jc w:val="both"/>
              <w:rPr>
                <w:rFonts w:ascii="Arial" w:hAnsi="Arial" w:cs="Arial"/>
              </w:rPr>
            </w:pPr>
            <w:r w:rsidRPr="00DC63F3">
              <w:rPr>
                <w:rFonts w:ascii="Arial" w:hAnsi="Arial" w:cs="Arial"/>
              </w:rPr>
              <w:t>Private sector investment</w:t>
            </w:r>
          </w:p>
        </w:tc>
        <w:tc>
          <w:tcPr>
            <w:tcW w:w="1980" w:type="dxa"/>
          </w:tcPr>
          <w:p w:rsidR="000E646C" w:rsidRPr="00DC63F3" w:rsidRDefault="001825E4" w:rsidP="00DC63F3">
            <w:pPr>
              <w:rPr>
                <w:rFonts w:ascii="Arial" w:hAnsi="Arial" w:cs="Arial"/>
              </w:rPr>
            </w:pPr>
            <w:r w:rsidRPr="00DC63F3">
              <w:rPr>
                <w:rFonts w:ascii="Arial" w:hAnsi="Arial" w:cs="Arial"/>
              </w:rPr>
              <w:t>£103,136,991</w:t>
            </w:r>
          </w:p>
        </w:tc>
      </w:tr>
      <w:tr w:rsidR="00BE47E1" w:rsidTr="000E646C">
        <w:tc>
          <w:tcPr>
            <w:tcW w:w="3093" w:type="dxa"/>
          </w:tcPr>
          <w:p w:rsidR="000E646C" w:rsidRPr="00DC63F3" w:rsidRDefault="001825E4" w:rsidP="00DC63F3">
            <w:pPr>
              <w:jc w:val="both"/>
              <w:rPr>
                <w:rFonts w:ascii="Arial" w:hAnsi="Arial" w:cs="Arial"/>
              </w:rPr>
            </w:pPr>
            <w:r w:rsidRPr="00DC63F3">
              <w:rPr>
                <w:rFonts w:ascii="Arial" w:hAnsi="Arial" w:cs="Arial"/>
              </w:rPr>
              <w:t>Jobs</w:t>
            </w:r>
          </w:p>
        </w:tc>
        <w:tc>
          <w:tcPr>
            <w:tcW w:w="1980" w:type="dxa"/>
          </w:tcPr>
          <w:p w:rsidR="000E646C" w:rsidRPr="00DC63F3" w:rsidRDefault="001825E4" w:rsidP="00DC63F3">
            <w:pPr>
              <w:jc w:val="both"/>
              <w:rPr>
                <w:rFonts w:ascii="Arial" w:hAnsi="Arial" w:cs="Arial"/>
              </w:rPr>
            </w:pPr>
            <w:r w:rsidRPr="00DC63F3">
              <w:rPr>
                <w:rFonts w:ascii="Arial" w:hAnsi="Arial" w:cs="Arial"/>
              </w:rPr>
              <w:t>2,120</w:t>
            </w:r>
          </w:p>
        </w:tc>
      </w:tr>
      <w:tr w:rsidR="00BE47E1" w:rsidTr="000E646C">
        <w:tc>
          <w:tcPr>
            <w:tcW w:w="3093" w:type="dxa"/>
          </w:tcPr>
          <w:p w:rsidR="000E646C" w:rsidRPr="00DC63F3" w:rsidRDefault="001825E4" w:rsidP="00DC63F3">
            <w:pPr>
              <w:jc w:val="both"/>
              <w:rPr>
                <w:rFonts w:ascii="Arial" w:hAnsi="Arial" w:cs="Arial"/>
              </w:rPr>
            </w:pPr>
            <w:r w:rsidRPr="00DC63F3">
              <w:rPr>
                <w:rFonts w:ascii="Arial" w:hAnsi="Arial" w:cs="Arial"/>
              </w:rPr>
              <w:t>Space developed</w:t>
            </w:r>
          </w:p>
        </w:tc>
        <w:tc>
          <w:tcPr>
            <w:tcW w:w="1980" w:type="dxa"/>
          </w:tcPr>
          <w:p w:rsidR="000E646C" w:rsidRPr="00DC63F3" w:rsidRDefault="001825E4" w:rsidP="000E646C">
            <w:pPr>
              <w:jc w:val="both"/>
              <w:rPr>
                <w:rFonts w:ascii="Arial" w:hAnsi="Arial" w:cs="Arial"/>
              </w:rPr>
            </w:pPr>
            <w:r>
              <w:rPr>
                <w:rFonts w:ascii="Arial" w:hAnsi="Arial" w:cs="Arial"/>
              </w:rPr>
              <w:t xml:space="preserve">207,029 </w:t>
            </w:r>
            <w:r w:rsidRPr="00DC63F3">
              <w:rPr>
                <w:rFonts w:ascii="Arial" w:hAnsi="Arial" w:cs="Arial"/>
              </w:rPr>
              <w:t>sq</w:t>
            </w:r>
            <w:r>
              <w:rPr>
                <w:rFonts w:ascii="Arial" w:hAnsi="Arial" w:cs="Arial"/>
              </w:rPr>
              <w:t>m</w:t>
            </w:r>
            <w:r w:rsidRPr="00DC63F3">
              <w:rPr>
                <w:rFonts w:ascii="Arial" w:hAnsi="Arial" w:cs="Arial"/>
              </w:rPr>
              <w:t>.</w:t>
            </w:r>
          </w:p>
        </w:tc>
      </w:tr>
      <w:tr w:rsidR="00BE47E1" w:rsidTr="000E646C">
        <w:tc>
          <w:tcPr>
            <w:tcW w:w="3093" w:type="dxa"/>
          </w:tcPr>
          <w:p w:rsidR="000E646C" w:rsidRPr="00DC63F3" w:rsidRDefault="001825E4" w:rsidP="00DC63F3">
            <w:pPr>
              <w:jc w:val="both"/>
              <w:rPr>
                <w:rFonts w:ascii="Arial" w:hAnsi="Arial" w:cs="Arial"/>
              </w:rPr>
            </w:pPr>
            <w:r w:rsidRPr="00DC63F3">
              <w:rPr>
                <w:rFonts w:ascii="Arial" w:hAnsi="Arial" w:cs="Arial"/>
              </w:rPr>
              <w:t>Housing Units</w:t>
            </w:r>
          </w:p>
        </w:tc>
        <w:tc>
          <w:tcPr>
            <w:tcW w:w="1980" w:type="dxa"/>
          </w:tcPr>
          <w:p w:rsidR="000E646C" w:rsidRPr="00DC63F3" w:rsidRDefault="001825E4" w:rsidP="00DC63F3">
            <w:pPr>
              <w:jc w:val="both"/>
              <w:rPr>
                <w:rFonts w:ascii="Arial" w:hAnsi="Arial" w:cs="Arial"/>
              </w:rPr>
            </w:pPr>
            <w:r w:rsidRPr="00DC63F3">
              <w:rPr>
                <w:rFonts w:ascii="Arial" w:hAnsi="Arial" w:cs="Arial"/>
              </w:rPr>
              <w:t>640</w:t>
            </w:r>
          </w:p>
        </w:tc>
      </w:tr>
      <w:tr w:rsidR="00BE47E1" w:rsidTr="000E646C">
        <w:tc>
          <w:tcPr>
            <w:tcW w:w="3093" w:type="dxa"/>
          </w:tcPr>
          <w:p w:rsidR="000E646C" w:rsidRPr="00DC63F3" w:rsidRDefault="001825E4" w:rsidP="00DC63F3">
            <w:pPr>
              <w:jc w:val="both"/>
              <w:rPr>
                <w:rFonts w:ascii="Arial" w:hAnsi="Arial" w:cs="Arial"/>
              </w:rPr>
            </w:pPr>
            <w:r w:rsidRPr="00DC63F3">
              <w:rPr>
                <w:rFonts w:ascii="Arial" w:hAnsi="Arial" w:cs="Arial"/>
              </w:rPr>
              <w:t xml:space="preserve">Original Fund </w:t>
            </w:r>
            <w:r>
              <w:rPr>
                <w:rFonts w:ascii="Arial" w:hAnsi="Arial" w:cs="Arial"/>
              </w:rPr>
              <w:t>Amount</w:t>
            </w:r>
          </w:p>
        </w:tc>
        <w:tc>
          <w:tcPr>
            <w:tcW w:w="1980" w:type="dxa"/>
          </w:tcPr>
          <w:p w:rsidR="000E646C" w:rsidRPr="00DC63F3" w:rsidRDefault="001825E4" w:rsidP="00DC63F3">
            <w:pPr>
              <w:jc w:val="both"/>
              <w:rPr>
                <w:rFonts w:ascii="Arial" w:hAnsi="Arial" w:cs="Arial"/>
              </w:rPr>
            </w:pPr>
            <w:r w:rsidRPr="00DC63F3">
              <w:rPr>
                <w:rFonts w:ascii="Arial" w:hAnsi="Arial" w:cs="Arial"/>
              </w:rPr>
              <w:t>£19,378,944</w:t>
            </w:r>
          </w:p>
        </w:tc>
      </w:tr>
      <w:tr w:rsidR="00BE47E1" w:rsidTr="000E646C">
        <w:tc>
          <w:tcPr>
            <w:tcW w:w="3093" w:type="dxa"/>
          </w:tcPr>
          <w:p w:rsidR="000E646C" w:rsidRPr="00DC63F3" w:rsidRDefault="001825E4" w:rsidP="00DC63F3">
            <w:pPr>
              <w:jc w:val="both"/>
              <w:rPr>
                <w:rFonts w:ascii="Arial" w:hAnsi="Arial" w:cs="Arial"/>
              </w:rPr>
            </w:pPr>
            <w:r w:rsidRPr="00DC63F3">
              <w:rPr>
                <w:rFonts w:ascii="Arial" w:hAnsi="Arial" w:cs="Arial"/>
              </w:rPr>
              <w:t>Capital Loaned</w:t>
            </w:r>
          </w:p>
        </w:tc>
        <w:tc>
          <w:tcPr>
            <w:tcW w:w="1980" w:type="dxa"/>
          </w:tcPr>
          <w:p w:rsidR="000E646C" w:rsidRPr="00DC63F3" w:rsidRDefault="001825E4" w:rsidP="00DC63F3">
            <w:pPr>
              <w:jc w:val="both"/>
              <w:rPr>
                <w:rFonts w:ascii="Arial" w:hAnsi="Arial" w:cs="Arial"/>
              </w:rPr>
            </w:pPr>
            <w:r w:rsidRPr="00DC63F3">
              <w:rPr>
                <w:rFonts w:ascii="Arial" w:hAnsi="Arial" w:cs="Arial"/>
              </w:rPr>
              <w:t>£30,680,298</w:t>
            </w:r>
          </w:p>
        </w:tc>
      </w:tr>
      <w:tr w:rsidR="00BE47E1" w:rsidTr="000E646C">
        <w:tc>
          <w:tcPr>
            <w:tcW w:w="3093" w:type="dxa"/>
          </w:tcPr>
          <w:p w:rsidR="000E646C" w:rsidRPr="00DC63F3" w:rsidRDefault="001825E4" w:rsidP="00DC63F3">
            <w:pPr>
              <w:jc w:val="both"/>
              <w:rPr>
                <w:rFonts w:ascii="Arial" w:hAnsi="Arial" w:cs="Arial"/>
              </w:rPr>
            </w:pPr>
            <w:r w:rsidRPr="00DC63F3">
              <w:rPr>
                <w:rFonts w:ascii="Arial" w:hAnsi="Arial" w:cs="Arial"/>
              </w:rPr>
              <w:t xml:space="preserve">Capital Repaid </w:t>
            </w:r>
          </w:p>
        </w:tc>
        <w:tc>
          <w:tcPr>
            <w:tcW w:w="1980" w:type="dxa"/>
          </w:tcPr>
          <w:p w:rsidR="000E646C" w:rsidRPr="00DC63F3" w:rsidRDefault="001825E4" w:rsidP="00DC63F3">
            <w:pPr>
              <w:jc w:val="both"/>
              <w:rPr>
                <w:rFonts w:ascii="Arial" w:hAnsi="Arial" w:cs="Arial"/>
              </w:rPr>
            </w:pPr>
            <w:r w:rsidRPr="00DC63F3">
              <w:rPr>
                <w:rFonts w:ascii="Arial" w:hAnsi="Arial" w:cs="Arial"/>
              </w:rPr>
              <w:t>£22,699,853</w:t>
            </w:r>
          </w:p>
        </w:tc>
      </w:tr>
      <w:tr w:rsidR="00BE47E1" w:rsidTr="000E646C">
        <w:tc>
          <w:tcPr>
            <w:tcW w:w="3093" w:type="dxa"/>
          </w:tcPr>
          <w:p w:rsidR="000E646C" w:rsidRPr="00DC63F3" w:rsidRDefault="001825E4" w:rsidP="00DC63F3">
            <w:pPr>
              <w:jc w:val="both"/>
              <w:rPr>
                <w:rFonts w:ascii="Arial" w:hAnsi="Arial" w:cs="Arial"/>
              </w:rPr>
            </w:pPr>
            <w:r w:rsidRPr="00DC63F3">
              <w:rPr>
                <w:rFonts w:ascii="Arial" w:hAnsi="Arial" w:cs="Arial"/>
              </w:rPr>
              <w:t>Interest Received from loans</w:t>
            </w:r>
          </w:p>
        </w:tc>
        <w:tc>
          <w:tcPr>
            <w:tcW w:w="1980" w:type="dxa"/>
          </w:tcPr>
          <w:p w:rsidR="000E646C" w:rsidRPr="00DC63F3" w:rsidRDefault="001825E4" w:rsidP="00DC63F3">
            <w:pPr>
              <w:jc w:val="both"/>
              <w:rPr>
                <w:rFonts w:ascii="Arial" w:hAnsi="Arial" w:cs="Arial"/>
              </w:rPr>
            </w:pPr>
            <w:r w:rsidRPr="00DC63F3">
              <w:rPr>
                <w:rFonts w:ascii="Arial" w:hAnsi="Arial" w:cs="Arial"/>
              </w:rPr>
              <w:t>£1,696,322</w:t>
            </w:r>
          </w:p>
        </w:tc>
      </w:tr>
      <w:tr w:rsidR="00BE47E1" w:rsidTr="000E646C">
        <w:tc>
          <w:tcPr>
            <w:tcW w:w="3093" w:type="dxa"/>
          </w:tcPr>
          <w:p w:rsidR="000E646C" w:rsidRPr="00DC63F3" w:rsidRDefault="001825E4" w:rsidP="00DC63F3">
            <w:pPr>
              <w:jc w:val="both"/>
              <w:rPr>
                <w:rFonts w:ascii="Arial" w:hAnsi="Arial" w:cs="Arial"/>
              </w:rPr>
            </w:pPr>
            <w:r w:rsidRPr="00DC63F3">
              <w:rPr>
                <w:rFonts w:ascii="Arial" w:hAnsi="Arial" w:cs="Arial"/>
              </w:rPr>
              <w:t>Capital to Invest *</w:t>
            </w:r>
          </w:p>
        </w:tc>
        <w:tc>
          <w:tcPr>
            <w:tcW w:w="1980" w:type="dxa"/>
          </w:tcPr>
          <w:p w:rsidR="000E646C" w:rsidRPr="00DC63F3" w:rsidRDefault="001825E4" w:rsidP="00DC63F3">
            <w:pPr>
              <w:jc w:val="both"/>
              <w:rPr>
                <w:rFonts w:ascii="Arial" w:hAnsi="Arial" w:cs="Arial"/>
              </w:rPr>
            </w:pPr>
            <w:r w:rsidRPr="00DC63F3">
              <w:rPr>
                <w:rFonts w:ascii="Arial" w:hAnsi="Arial" w:cs="Arial"/>
              </w:rPr>
              <w:t>£11,398,499</w:t>
            </w:r>
          </w:p>
        </w:tc>
      </w:tr>
    </w:tbl>
    <w:p w:rsidR="00EF71F0" w:rsidRPr="00DC63F3" w:rsidRDefault="001825E4" w:rsidP="00DC63F3">
      <w:pPr>
        <w:jc w:val="both"/>
        <w:rPr>
          <w:rFonts w:ascii="Arial" w:hAnsi="Arial" w:cs="Arial"/>
        </w:rPr>
      </w:pPr>
      <w:r w:rsidRPr="00DC63F3">
        <w:rPr>
          <w:rFonts w:ascii="Arial" w:hAnsi="Arial" w:cs="Arial"/>
        </w:rPr>
        <w:t>*This figure changes which each repayment received.</w:t>
      </w:r>
    </w:p>
    <w:p w:rsidR="00A87A34" w:rsidRDefault="001825E4" w:rsidP="00DC63F3">
      <w:pPr>
        <w:jc w:val="both"/>
        <w:rPr>
          <w:rFonts w:ascii="Arial" w:hAnsi="Arial" w:cs="Arial"/>
          <w:b/>
          <w:i/>
        </w:rPr>
      </w:pPr>
    </w:p>
    <w:p w:rsidR="00A87A34" w:rsidRDefault="001825E4" w:rsidP="00DC63F3">
      <w:pPr>
        <w:jc w:val="both"/>
        <w:rPr>
          <w:rFonts w:ascii="Arial" w:hAnsi="Arial" w:cs="Arial"/>
          <w:b/>
          <w:i/>
        </w:rPr>
      </w:pPr>
    </w:p>
    <w:p w:rsidR="00A87A34" w:rsidRDefault="001825E4" w:rsidP="00DC63F3">
      <w:pPr>
        <w:jc w:val="both"/>
        <w:rPr>
          <w:rFonts w:ascii="Arial" w:hAnsi="Arial" w:cs="Arial"/>
          <w:b/>
          <w:i/>
        </w:rPr>
      </w:pPr>
    </w:p>
    <w:p w:rsidR="00A87A34" w:rsidRDefault="001825E4" w:rsidP="00DC63F3">
      <w:pPr>
        <w:jc w:val="both"/>
        <w:rPr>
          <w:rFonts w:ascii="Arial" w:hAnsi="Arial" w:cs="Arial"/>
          <w:b/>
          <w:i/>
        </w:rPr>
      </w:pPr>
    </w:p>
    <w:p w:rsidR="00105B3C" w:rsidRPr="00DC63F3" w:rsidRDefault="001825E4" w:rsidP="00DC63F3">
      <w:pPr>
        <w:jc w:val="both"/>
        <w:rPr>
          <w:rFonts w:ascii="Arial" w:hAnsi="Arial" w:cs="Arial"/>
          <w:b/>
          <w:i/>
        </w:rPr>
      </w:pPr>
      <w:r>
        <w:rPr>
          <w:rFonts w:ascii="Arial" w:hAnsi="Arial" w:cs="Arial"/>
          <w:b/>
          <w:i/>
        </w:rPr>
        <w:t>R</w:t>
      </w:r>
      <w:r w:rsidRPr="00DC63F3">
        <w:rPr>
          <w:rFonts w:ascii="Arial" w:hAnsi="Arial" w:cs="Arial"/>
          <w:b/>
          <w:i/>
        </w:rPr>
        <w:t>isks</w:t>
      </w:r>
    </w:p>
    <w:tbl>
      <w:tblPr>
        <w:tblStyle w:val="TableGrid"/>
        <w:tblW w:w="0" w:type="auto"/>
        <w:tblLook w:val="04A0" w:firstRow="1" w:lastRow="0" w:firstColumn="1" w:lastColumn="0" w:noHBand="0" w:noVBand="1"/>
      </w:tblPr>
      <w:tblGrid>
        <w:gridCol w:w="2547"/>
        <w:gridCol w:w="6469"/>
      </w:tblGrid>
      <w:tr w:rsidR="00BE47E1" w:rsidTr="000D3973">
        <w:tc>
          <w:tcPr>
            <w:tcW w:w="2547" w:type="dxa"/>
          </w:tcPr>
          <w:p w:rsidR="005E500F" w:rsidRPr="00DC63F3" w:rsidRDefault="001825E4" w:rsidP="00DC63F3">
            <w:pPr>
              <w:jc w:val="both"/>
              <w:rPr>
                <w:rFonts w:ascii="Arial" w:hAnsi="Arial" w:cs="Arial"/>
              </w:rPr>
            </w:pPr>
            <w:r w:rsidRPr="00DC63F3">
              <w:rPr>
                <w:rFonts w:ascii="Arial" w:hAnsi="Arial" w:cs="Arial"/>
              </w:rPr>
              <w:t>Risk</w:t>
            </w:r>
          </w:p>
        </w:tc>
        <w:tc>
          <w:tcPr>
            <w:tcW w:w="6469" w:type="dxa"/>
          </w:tcPr>
          <w:p w:rsidR="005E500F" w:rsidRPr="00DC63F3" w:rsidRDefault="001825E4" w:rsidP="00DC63F3">
            <w:pPr>
              <w:jc w:val="both"/>
              <w:rPr>
                <w:rFonts w:ascii="Arial" w:hAnsi="Arial" w:cs="Arial"/>
              </w:rPr>
            </w:pPr>
            <w:r w:rsidRPr="00DC63F3">
              <w:rPr>
                <w:rFonts w:ascii="Arial" w:hAnsi="Arial" w:cs="Arial"/>
              </w:rPr>
              <w:t>Mitigation/Action</w:t>
            </w:r>
          </w:p>
        </w:tc>
      </w:tr>
      <w:tr w:rsidR="00BE47E1" w:rsidTr="000D3973">
        <w:tc>
          <w:tcPr>
            <w:tcW w:w="2547" w:type="dxa"/>
          </w:tcPr>
          <w:p w:rsidR="005E500F" w:rsidRPr="00DC63F3" w:rsidRDefault="001825E4" w:rsidP="000D3973">
            <w:pPr>
              <w:rPr>
                <w:rFonts w:ascii="Arial" w:hAnsi="Arial" w:cs="Arial"/>
              </w:rPr>
            </w:pPr>
            <w:r w:rsidRPr="00DC63F3">
              <w:rPr>
                <w:rFonts w:ascii="Arial" w:hAnsi="Arial" w:cs="Arial"/>
              </w:rPr>
              <w:t xml:space="preserve">Covid 19 impacts the </w:t>
            </w:r>
            <w:r w:rsidRPr="00DC63F3">
              <w:rPr>
                <w:rFonts w:ascii="Arial" w:hAnsi="Arial" w:cs="Arial"/>
              </w:rPr>
              <w:t>viability of the schemes to deliver the returns</w:t>
            </w:r>
          </w:p>
        </w:tc>
        <w:tc>
          <w:tcPr>
            <w:tcW w:w="6469" w:type="dxa"/>
          </w:tcPr>
          <w:p w:rsidR="005E500F" w:rsidRPr="00DC63F3" w:rsidRDefault="001825E4" w:rsidP="000D3973">
            <w:pPr>
              <w:rPr>
                <w:rFonts w:ascii="Arial" w:hAnsi="Arial" w:cs="Arial"/>
              </w:rPr>
            </w:pPr>
            <w:r w:rsidRPr="00DC63F3">
              <w:rPr>
                <w:rFonts w:ascii="Arial" w:hAnsi="Arial" w:cs="Arial"/>
              </w:rPr>
              <w:t xml:space="preserve">Two schemes have requested assistance with repayment of their loans which was approved using the Urgent Business Procedure on 25 August 2020. </w:t>
            </w:r>
          </w:p>
        </w:tc>
      </w:tr>
      <w:tr w:rsidR="00BE47E1" w:rsidTr="000D3973">
        <w:tc>
          <w:tcPr>
            <w:tcW w:w="2547" w:type="dxa"/>
          </w:tcPr>
          <w:p w:rsidR="005E500F" w:rsidRPr="00DC63F3" w:rsidRDefault="001825E4" w:rsidP="000D3973">
            <w:pPr>
              <w:rPr>
                <w:rFonts w:ascii="Arial" w:hAnsi="Arial" w:cs="Arial"/>
              </w:rPr>
            </w:pPr>
            <w:r w:rsidRPr="00DC63F3">
              <w:rPr>
                <w:rFonts w:ascii="Arial" w:hAnsi="Arial" w:cs="Arial"/>
              </w:rPr>
              <w:t>The current loans are not repaid</w:t>
            </w:r>
          </w:p>
        </w:tc>
        <w:tc>
          <w:tcPr>
            <w:tcW w:w="6469" w:type="dxa"/>
          </w:tcPr>
          <w:p w:rsidR="005E500F" w:rsidRPr="00DC63F3" w:rsidRDefault="001825E4" w:rsidP="000D3973">
            <w:pPr>
              <w:rPr>
                <w:rFonts w:ascii="Arial" w:hAnsi="Arial" w:cs="Arial"/>
              </w:rPr>
            </w:pPr>
            <w:r w:rsidRPr="00DC63F3">
              <w:rPr>
                <w:rFonts w:ascii="Arial" w:hAnsi="Arial" w:cs="Arial"/>
              </w:rPr>
              <w:t>Robust monitoring of schemes as</w:t>
            </w:r>
            <w:r w:rsidRPr="00DC63F3">
              <w:rPr>
                <w:rFonts w:ascii="Arial" w:hAnsi="Arial" w:cs="Arial"/>
              </w:rPr>
              <w:t xml:space="preserve"> per the terms of their Facility Agreement</w:t>
            </w:r>
            <w:r>
              <w:rPr>
                <w:rFonts w:ascii="Arial" w:hAnsi="Arial" w:cs="Arial"/>
              </w:rPr>
              <w:t>.</w:t>
            </w:r>
          </w:p>
          <w:p w:rsidR="005E500F" w:rsidRPr="00DC63F3" w:rsidRDefault="001825E4" w:rsidP="000D3973">
            <w:pPr>
              <w:rPr>
                <w:rFonts w:ascii="Arial" w:hAnsi="Arial" w:cs="Arial"/>
              </w:rPr>
            </w:pPr>
            <w:r w:rsidRPr="00DC63F3">
              <w:rPr>
                <w:rFonts w:ascii="Arial" w:hAnsi="Arial" w:cs="Arial"/>
              </w:rPr>
              <w:t>Step in rights if loans are not performing</w:t>
            </w:r>
          </w:p>
          <w:p w:rsidR="005E500F" w:rsidRPr="00DC63F3" w:rsidRDefault="001825E4" w:rsidP="000D3973">
            <w:pPr>
              <w:rPr>
                <w:rFonts w:ascii="Arial" w:hAnsi="Arial" w:cs="Arial"/>
              </w:rPr>
            </w:pPr>
            <w:r w:rsidRPr="00DC63F3">
              <w:rPr>
                <w:rFonts w:ascii="Arial" w:hAnsi="Arial" w:cs="Arial"/>
              </w:rPr>
              <w:t>Annual accounts from borrowers</w:t>
            </w:r>
            <w:r>
              <w:rPr>
                <w:rFonts w:ascii="Arial" w:hAnsi="Arial" w:cs="Arial"/>
              </w:rPr>
              <w:t>.</w:t>
            </w:r>
          </w:p>
        </w:tc>
      </w:tr>
      <w:tr w:rsidR="00BE47E1" w:rsidTr="000D3973">
        <w:tc>
          <w:tcPr>
            <w:tcW w:w="2547" w:type="dxa"/>
          </w:tcPr>
          <w:p w:rsidR="005E500F" w:rsidRPr="00DC63F3" w:rsidRDefault="001825E4" w:rsidP="000D3973">
            <w:pPr>
              <w:rPr>
                <w:rFonts w:ascii="Arial" w:hAnsi="Arial" w:cs="Arial"/>
              </w:rPr>
            </w:pPr>
            <w:r w:rsidRPr="00DC63F3">
              <w:rPr>
                <w:rFonts w:ascii="Arial" w:hAnsi="Arial" w:cs="Arial"/>
              </w:rPr>
              <w:t>Failure to deliver more loans</w:t>
            </w:r>
          </w:p>
        </w:tc>
        <w:tc>
          <w:tcPr>
            <w:tcW w:w="6469" w:type="dxa"/>
          </w:tcPr>
          <w:p w:rsidR="005E500F" w:rsidRPr="00DC63F3" w:rsidRDefault="001825E4" w:rsidP="000D3973">
            <w:pPr>
              <w:rPr>
                <w:rFonts w:ascii="Arial" w:hAnsi="Arial" w:cs="Arial"/>
              </w:rPr>
            </w:pPr>
            <w:r w:rsidRPr="00DC63F3">
              <w:rPr>
                <w:rFonts w:ascii="Arial" w:hAnsi="Arial" w:cs="Arial"/>
              </w:rPr>
              <w:t>Quarterly Performance Reporting</w:t>
            </w:r>
            <w:r>
              <w:rPr>
                <w:rFonts w:ascii="Arial" w:hAnsi="Arial" w:cs="Arial"/>
              </w:rPr>
              <w:t>.</w:t>
            </w:r>
          </w:p>
          <w:p w:rsidR="005E500F" w:rsidRPr="00DC63F3" w:rsidRDefault="001825E4" w:rsidP="000D3973">
            <w:pPr>
              <w:rPr>
                <w:rFonts w:ascii="Arial" w:hAnsi="Arial" w:cs="Arial"/>
              </w:rPr>
            </w:pPr>
            <w:r w:rsidRPr="00DC63F3">
              <w:rPr>
                <w:rFonts w:ascii="Arial" w:hAnsi="Arial" w:cs="Arial"/>
              </w:rPr>
              <w:t>Promoted on LEP website with Expression of Interest form.</w:t>
            </w:r>
          </w:p>
          <w:p w:rsidR="005E500F" w:rsidRPr="00DC63F3" w:rsidRDefault="001825E4" w:rsidP="000D3973">
            <w:pPr>
              <w:rPr>
                <w:rFonts w:ascii="Arial" w:hAnsi="Arial" w:cs="Arial"/>
              </w:rPr>
            </w:pPr>
            <w:r w:rsidRPr="00DC63F3">
              <w:rPr>
                <w:rFonts w:ascii="Arial" w:hAnsi="Arial" w:cs="Arial"/>
              </w:rPr>
              <w:t>Marketing campa</w:t>
            </w:r>
            <w:r w:rsidRPr="00DC63F3">
              <w:rPr>
                <w:rFonts w:ascii="Arial" w:hAnsi="Arial" w:cs="Arial"/>
              </w:rPr>
              <w:t>ign to commence, if agreed</w:t>
            </w:r>
            <w:r>
              <w:rPr>
                <w:rFonts w:ascii="Arial" w:hAnsi="Arial" w:cs="Arial"/>
              </w:rPr>
              <w:t>.</w:t>
            </w:r>
          </w:p>
        </w:tc>
      </w:tr>
      <w:tr w:rsidR="00BE47E1" w:rsidTr="000D3973">
        <w:tc>
          <w:tcPr>
            <w:tcW w:w="2547" w:type="dxa"/>
          </w:tcPr>
          <w:p w:rsidR="005E500F" w:rsidRPr="00DC63F3" w:rsidRDefault="001825E4" w:rsidP="000D3973">
            <w:pPr>
              <w:rPr>
                <w:rFonts w:ascii="Arial" w:hAnsi="Arial" w:cs="Arial"/>
              </w:rPr>
            </w:pPr>
            <w:r w:rsidRPr="00DC63F3">
              <w:rPr>
                <w:rFonts w:ascii="Arial" w:hAnsi="Arial" w:cs="Arial"/>
              </w:rPr>
              <w:t>The pipeline of schemes dries up</w:t>
            </w:r>
          </w:p>
        </w:tc>
        <w:tc>
          <w:tcPr>
            <w:tcW w:w="6469" w:type="dxa"/>
          </w:tcPr>
          <w:p w:rsidR="005E500F" w:rsidRPr="00DC63F3" w:rsidRDefault="001825E4" w:rsidP="000D3973">
            <w:pPr>
              <w:rPr>
                <w:rFonts w:ascii="Arial" w:hAnsi="Arial" w:cs="Arial"/>
              </w:rPr>
            </w:pPr>
            <w:r w:rsidRPr="00DC63F3">
              <w:rPr>
                <w:rFonts w:ascii="Arial" w:hAnsi="Arial" w:cs="Arial"/>
              </w:rPr>
              <w:t>Promoted on the LEP website</w:t>
            </w:r>
            <w:r>
              <w:rPr>
                <w:rFonts w:ascii="Arial" w:hAnsi="Arial" w:cs="Arial"/>
              </w:rPr>
              <w:t>.</w:t>
            </w:r>
          </w:p>
          <w:p w:rsidR="005B3E50" w:rsidRPr="00DC63F3" w:rsidRDefault="001825E4" w:rsidP="000D3973">
            <w:pPr>
              <w:rPr>
                <w:rFonts w:ascii="Arial" w:hAnsi="Arial" w:cs="Arial"/>
              </w:rPr>
            </w:pPr>
            <w:r w:rsidRPr="00DC63F3">
              <w:rPr>
                <w:rFonts w:ascii="Arial" w:hAnsi="Arial" w:cs="Arial"/>
              </w:rPr>
              <w:t>Marketing Campaign to commence if agreed by Board</w:t>
            </w:r>
            <w:r>
              <w:rPr>
                <w:rFonts w:ascii="Arial" w:hAnsi="Arial" w:cs="Arial"/>
              </w:rPr>
              <w:t>.</w:t>
            </w:r>
          </w:p>
          <w:p w:rsidR="005B3E50" w:rsidRPr="00DC63F3" w:rsidRDefault="001825E4" w:rsidP="000D3973">
            <w:pPr>
              <w:rPr>
                <w:rFonts w:ascii="Arial" w:hAnsi="Arial" w:cs="Arial"/>
              </w:rPr>
            </w:pPr>
            <w:r w:rsidRPr="00DC63F3">
              <w:rPr>
                <w:rFonts w:ascii="Arial" w:hAnsi="Arial" w:cs="Arial"/>
              </w:rPr>
              <w:t>Any changes to criteria promoted on LEP website and though marketing campaign if agreed</w:t>
            </w:r>
            <w:r>
              <w:rPr>
                <w:rFonts w:ascii="Arial" w:hAnsi="Arial" w:cs="Arial"/>
              </w:rPr>
              <w:t>.</w:t>
            </w:r>
          </w:p>
        </w:tc>
      </w:tr>
      <w:tr w:rsidR="00BE47E1" w:rsidTr="000D3973">
        <w:tc>
          <w:tcPr>
            <w:tcW w:w="2547" w:type="dxa"/>
          </w:tcPr>
          <w:p w:rsidR="000F4079" w:rsidRPr="00DC63F3" w:rsidRDefault="001825E4" w:rsidP="000D3973">
            <w:pPr>
              <w:rPr>
                <w:rFonts w:ascii="Arial" w:hAnsi="Arial" w:cs="Arial"/>
              </w:rPr>
            </w:pPr>
            <w:r>
              <w:rPr>
                <w:rFonts w:ascii="Arial" w:hAnsi="Arial" w:cs="Arial"/>
              </w:rPr>
              <w:t xml:space="preserve">Failure to achieve </w:t>
            </w:r>
            <w:r>
              <w:rPr>
                <w:rFonts w:ascii="Arial" w:hAnsi="Arial" w:cs="Arial"/>
              </w:rPr>
              <w:t>strategic impact</w:t>
            </w:r>
          </w:p>
        </w:tc>
        <w:tc>
          <w:tcPr>
            <w:tcW w:w="6469" w:type="dxa"/>
          </w:tcPr>
          <w:p w:rsidR="000F4079" w:rsidRPr="00DC63F3" w:rsidRDefault="001825E4" w:rsidP="000D3973">
            <w:pPr>
              <w:rPr>
                <w:rFonts w:ascii="Arial" w:hAnsi="Arial" w:cs="Arial"/>
              </w:rPr>
            </w:pPr>
            <w:r>
              <w:rPr>
                <w:rFonts w:ascii="Arial" w:hAnsi="Arial" w:cs="Arial"/>
              </w:rPr>
              <w:t>Alignment of marketing activity with KPIs of Strategic Framework to be agreed with the Board and priorities of the Local Industrial Strategy and Recovery Plan</w:t>
            </w:r>
          </w:p>
        </w:tc>
      </w:tr>
    </w:tbl>
    <w:p w:rsidR="005E500F" w:rsidRPr="00DC63F3" w:rsidRDefault="001825E4" w:rsidP="00DC63F3">
      <w:pPr>
        <w:jc w:val="both"/>
        <w:rPr>
          <w:rFonts w:ascii="Arial" w:hAnsi="Arial" w:cs="Arial"/>
        </w:rPr>
      </w:pPr>
    </w:p>
    <w:p w:rsidR="00105B3C" w:rsidRPr="00DC63F3" w:rsidRDefault="001825E4" w:rsidP="00DC63F3">
      <w:pPr>
        <w:jc w:val="both"/>
        <w:rPr>
          <w:rFonts w:ascii="Arial" w:hAnsi="Arial" w:cs="Arial"/>
          <w:b/>
          <w:i/>
        </w:rPr>
      </w:pPr>
    </w:p>
    <w:sectPr w:rsidR="00105B3C" w:rsidRPr="00DC6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7F80"/>
    <w:multiLevelType w:val="hybridMultilevel"/>
    <w:tmpl w:val="382EC88E"/>
    <w:lvl w:ilvl="0" w:tplc="319EC7B0">
      <w:start w:val="1"/>
      <w:numFmt w:val="decimal"/>
      <w:lvlText w:val="%1)"/>
      <w:lvlJc w:val="left"/>
      <w:pPr>
        <w:ind w:left="785" w:hanging="360"/>
      </w:pPr>
      <w:rPr>
        <w:rFonts w:hint="default"/>
      </w:rPr>
    </w:lvl>
    <w:lvl w:ilvl="1" w:tplc="429A9D56" w:tentative="1">
      <w:start w:val="1"/>
      <w:numFmt w:val="lowerLetter"/>
      <w:lvlText w:val="%2."/>
      <w:lvlJc w:val="left"/>
      <w:pPr>
        <w:ind w:left="1505" w:hanging="360"/>
      </w:pPr>
    </w:lvl>
    <w:lvl w:ilvl="2" w:tplc="95649680" w:tentative="1">
      <w:start w:val="1"/>
      <w:numFmt w:val="lowerRoman"/>
      <w:lvlText w:val="%3."/>
      <w:lvlJc w:val="right"/>
      <w:pPr>
        <w:ind w:left="2225" w:hanging="180"/>
      </w:pPr>
    </w:lvl>
    <w:lvl w:ilvl="3" w:tplc="2D2C3B74" w:tentative="1">
      <w:start w:val="1"/>
      <w:numFmt w:val="decimal"/>
      <w:lvlText w:val="%4."/>
      <w:lvlJc w:val="left"/>
      <w:pPr>
        <w:ind w:left="2945" w:hanging="360"/>
      </w:pPr>
    </w:lvl>
    <w:lvl w:ilvl="4" w:tplc="5FCC80FC" w:tentative="1">
      <w:start w:val="1"/>
      <w:numFmt w:val="lowerLetter"/>
      <w:lvlText w:val="%5."/>
      <w:lvlJc w:val="left"/>
      <w:pPr>
        <w:ind w:left="3665" w:hanging="360"/>
      </w:pPr>
    </w:lvl>
    <w:lvl w:ilvl="5" w:tplc="A94E994C" w:tentative="1">
      <w:start w:val="1"/>
      <w:numFmt w:val="lowerRoman"/>
      <w:lvlText w:val="%6."/>
      <w:lvlJc w:val="right"/>
      <w:pPr>
        <w:ind w:left="4385" w:hanging="180"/>
      </w:pPr>
    </w:lvl>
    <w:lvl w:ilvl="6" w:tplc="9B4074B6" w:tentative="1">
      <w:start w:val="1"/>
      <w:numFmt w:val="decimal"/>
      <w:lvlText w:val="%7."/>
      <w:lvlJc w:val="left"/>
      <w:pPr>
        <w:ind w:left="5105" w:hanging="360"/>
      </w:pPr>
    </w:lvl>
    <w:lvl w:ilvl="7" w:tplc="FFE47370" w:tentative="1">
      <w:start w:val="1"/>
      <w:numFmt w:val="lowerLetter"/>
      <w:lvlText w:val="%8."/>
      <w:lvlJc w:val="left"/>
      <w:pPr>
        <w:ind w:left="5825" w:hanging="360"/>
      </w:pPr>
    </w:lvl>
    <w:lvl w:ilvl="8" w:tplc="2124A5C0"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E1"/>
    <w:rsid w:val="001825E4"/>
    <w:rsid w:val="00BE4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1AB7"/>
  <w15:docId w15:val="{AAA92B8B-5FFB-4C9F-A991-DD71B4960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3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5B3C"/>
    <w:pPr>
      <w:ind w:left="720"/>
      <w:contextualSpacing/>
    </w:pPr>
  </w:style>
  <w:style w:type="paragraph" w:styleId="NoSpacing">
    <w:name w:val="No Spacing"/>
    <w:uiPriority w:val="1"/>
    <w:qFormat/>
    <w:rsid w:val="000D3973"/>
    <w:pPr>
      <w:spacing w:after="0" w:line="240" w:lineRule="auto"/>
    </w:pPr>
  </w:style>
  <w:style w:type="character" w:styleId="CommentReference">
    <w:name w:val="annotation reference"/>
    <w:basedOn w:val="DefaultParagraphFont"/>
    <w:uiPriority w:val="99"/>
    <w:semiHidden/>
    <w:unhideWhenUsed/>
    <w:rsid w:val="000F4079"/>
    <w:rPr>
      <w:sz w:val="16"/>
      <w:szCs w:val="16"/>
    </w:rPr>
  </w:style>
  <w:style w:type="paragraph" w:styleId="CommentText">
    <w:name w:val="annotation text"/>
    <w:basedOn w:val="Normal"/>
    <w:link w:val="CommentTextChar"/>
    <w:uiPriority w:val="99"/>
    <w:semiHidden/>
    <w:unhideWhenUsed/>
    <w:rsid w:val="000F4079"/>
    <w:pPr>
      <w:spacing w:line="240" w:lineRule="auto"/>
    </w:pPr>
    <w:rPr>
      <w:sz w:val="20"/>
      <w:szCs w:val="20"/>
    </w:rPr>
  </w:style>
  <w:style w:type="character" w:customStyle="1" w:styleId="CommentTextChar">
    <w:name w:val="Comment Text Char"/>
    <w:basedOn w:val="DefaultParagraphFont"/>
    <w:link w:val="CommentText"/>
    <w:uiPriority w:val="99"/>
    <w:semiHidden/>
    <w:rsid w:val="000F4079"/>
    <w:rPr>
      <w:sz w:val="20"/>
      <w:szCs w:val="20"/>
    </w:rPr>
  </w:style>
  <w:style w:type="paragraph" w:styleId="CommentSubject">
    <w:name w:val="annotation subject"/>
    <w:basedOn w:val="CommentText"/>
    <w:next w:val="CommentText"/>
    <w:link w:val="CommentSubjectChar"/>
    <w:uiPriority w:val="99"/>
    <w:semiHidden/>
    <w:unhideWhenUsed/>
    <w:rsid w:val="000F4079"/>
    <w:rPr>
      <w:b/>
      <w:bCs/>
    </w:rPr>
  </w:style>
  <w:style w:type="character" w:customStyle="1" w:styleId="CommentSubjectChar">
    <w:name w:val="Comment Subject Char"/>
    <w:basedOn w:val="CommentTextChar"/>
    <w:link w:val="CommentSubject"/>
    <w:uiPriority w:val="99"/>
    <w:semiHidden/>
    <w:rsid w:val="000F4079"/>
    <w:rPr>
      <w:b/>
      <w:bCs/>
      <w:sz w:val="20"/>
      <w:szCs w:val="20"/>
    </w:rPr>
  </w:style>
  <w:style w:type="paragraph" w:styleId="BalloonText">
    <w:name w:val="Balloon Text"/>
    <w:basedOn w:val="Normal"/>
    <w:link w:val="BalloonTextChar"/>
    <w:uiPriority w:val="99"/>
    <w:semiHidden/>
    <w:unhideWhenUsed/>
    <w:rsid w:val="000F4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0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Sue (LEP)</dc:creator>
  <cp:lastModifiedBy>Milroy, Andy</cp:lastModifiedBy>
  <cp:revision>12</cp:revision>
  <dcterms:created xsi:type="dcterms:W3CDTF">2020-08-26T09:31:00Z</dcterms:created>
  <dcterms:modified xsi:type="dcterms:W3CDTF">2020-09-23T11:39:00Z</dcterms:modified>
</cp:coreProperties>
</file>